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8.       Procuração, com firma reconhecida, no caso de representação +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proofErr w:type="gramStart"/>
      <w:r>
        <w:rPr>
          <w:color w:val="1F4E79"/>
        </w:rPr>
        <w:t>b)</w:t>
      </w:r>
      <w:proofErr w:type="gramEnd"/>
      <w:r>
        <w:rPr>
          <w:color w:val="1F4E79"/>
        </w:rPr>
        <w:t>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122E7A" w:rsidRPr="00122E7A" w:rsidRDefault="006D7E83" w:rsidP="00122E7A">
      <w:pPr>
        <w:jc w:val="both"/>
        <w:rPr>
          <w:color w:val="1F4E79"/>
        </w:rPr>
      </w:pPr>
      <w:proofErr w:type="gramStart"/>
      <w:r>
        <w:rPr>
          <w:color w:val="1F4E79"/>
        </w:rPr>
        <w:t>1</w:t>
      </w:r>
      <w:proofErr w:type="gramEnd"/>
      <w:r w:rsidR="00122E7A"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Projeto Básico</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bookmarkStart w:id="0" w:name="_GoBack"/>
      <w:bookmarkEnd w:id="0"/>
    </w:p>
    <w:p w:rsidR="00805B3C" w:rsidRDefault="00805B3C" w:rsidP="00895CB0">
      <w:pPr>
        <w:jc w:val="both"/>
        <w:rPr>
          <w:color w:val="1F4E79"/>
        </w:rPr>
      </w:pPr>
    </w:p>
    <w:p w:rsidR="00805B3C" w:rsidRDefault="00805B3C" w:rsidP="00895CB0">
      <w:pPr>
        <w:jc w:val="both"/>
        <w:rPr>
          <w:color w:val="1F4E79"/>
        </w:rPr>
      </w:pPr>
      <w:r>
        <w:rPr>
          <w:color w:val="1F4E79"/>
        </w:rPr>
        <w:t xml:space="preserve">3.       Declaração de atendimento à Lei Estadual n° 7.258/2016. </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122E7A"/>
    <w:rsid w:val="006D7E83"/>
    <w:rsid w:val="007077AE"/>
    <w:rsid w:val="00805B3C"/>
    <w:rsid w:val="00895CB0"/>
    <w:rsid w:val="008A724C"/>
    <w:rsid w:val="008C3102"/>
    <w:rsid w:val="00A4545B"/>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6</cp:revision>
  <cp:lastPrinted>2017-04-05T17:34:00Z</cp:lastPrinted>
  <dcterms:created xsi:type="dcterms:W3CDTF">2017-04-20T16:45:00Z</dcterms:created>
  <dcterms:modified xsi:type="dcterms:W3CDTF">2018-01-09T19:21:00Z</dcterms:modified>
</cp:coreProperties>
</file>