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bookmarkStart w:id="0" w:name="_GoBack"/>
      <w:bookmarkEnd w:id="0"/>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122E7A" w:rsidP="00122E7A">
      <w:pPr>
        <w:jc w:val="both"/>
        <w:rPr>
          <w:color w:val="1F4E79"/>
        </w:rPr>
      </w:pPr>
      <w:proofErr w:type="gramStart"/>
      <w:r>
        <w:rPr>
          <w:color w:val="1F4E79"/>
        </w:rPr>
        <w:t>1</w:t>
      </w:r>
      <w:proofErr w:type="gramEnd"/>
      <w:r w:rsidRPr="00122E7A">
        <w:rPr>
          <w:color w:val="1F4E79"/>
        </w:rPr>
        <w:t xml:space="preserve">) Balanço Patrimonial e Demonstrações Contábeis do último exercício social, desde que já exigíveis e apresentados na forma da lei, incluindo Termo de Abertura e encerramento do livro contábil, que comprovem a boa situação financeira da empresa. Quando encerrados há mais de três meses da data da apresentação da proposta, admitir-se-á atualização de valores, por índices oficiais, sendo vedada a substituição das demonstrações financeiras por balancetes ou balanços provisórios. Os licitantes deverão comprovar que dispõem dos índices econômico-financeiros mínimos previstos a seguir: </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.1)</w:t>
      </w:r>
      <w:proofErr w:type="gramEnd"/>
      <w:r w:rsidRPr="00122E7A">
        <w:rPr>
          <w:color w:val="1F4E79"/>
        </w:rPr>
        <w:t xml:space="preserve"> Índice de Liquidez Geral: somente serão qualificados os Licitantes que obtiverem Índice de Liquidez Geral (ILG) igual ou maior do que 1,0 (um), apurado nas demonstrações financeiras do último exercício financeiro, calculado de acordo com a seguinte fórmula:</w:t>
      </w:r>
    </w:p>
    <w:p w:rsidR="00122E7A" w:rsidRPr="00122E7A" w:rsidRDefault="00122E7A" w:rsidP="00122E7A">
      <w:pPr>
        <w:jc w:val="both"/>
        <w:rPr>
          <w:color w:val="1F4E79"/>
        </w:rPr>
      </w:pPr>
    </w:p>
    <w:p w:rsidR="00122E7A" w:rsidRPr="00122E7A" w:rsidRDefault="00122E7A" w:rsidP="00122E7A">
      <w:pPr>
        <w:jc w:val="center"/>
        <w:rPr>
          <w:color w:val="1F4E79"/>
        </w:rPr>
      </w:pPr>
      <w:r w:rsidRPr="00122E7A">
        <w:rPr>
          <w:color w:val="1F4E79"/>
        </w:rPr>
        <w:t xml:space="preserve">ILG = ATIVO CIRCULANTE + REALIZÁVEL </w:t>
      </w:r>
      <w:proofErr w:type="gramStart"/>
      <w:r w:rsidRPr="00122E7A">
        <w:rPr>
          <w:color w:val="1F4E79"/>
        </w:rPr>
        <w:t>A LONGO PRAZO</w:t>
      </w:r>
      <w:proofErr w:type="gramEnd"/>
      <w:r w:rsidRPr="00122E7A">
        <w:rPr>
          <w:color w:val="1F4E79"/>
        </w:rPr>
        <w:t xml:space="preserve">  &gt; OU = 1,0</w:t>
      </w:r>
    </w:p>
    <w:p w:rsidR="00122E7A" w:rsidRPr="00122E7A" w:rsidRDefault="00122E7A" w:rsidP="00122E7A">
      <w:pPr>
        <w:jc w:val="center"/>
        <w:rPr>
          <w:color w:val="1F4E79"/>
        </w:rPr>
      </w:pPr>
      <w:r w:rsidRPr="00122E7A">
        <w:rPr>
          <w:color w:val="1F4E79"/>
        </w:rPr>
        <w:t xml:space="preserve">PASSIVO CIRCULANTE + EXIGÍVEL </w:t>
      </w:r>
      <w:proofErr w:type="gramStart"/>
      <w:r w:rsidRPr="00122E7A">
        <w:rPr>
          <w:color w:val="1F4E79"/>
        </w:rPr>
        <w:t>A LONGO PRAZO</w:t>
      </w:r>
      <w:proofErr w:type="gramEnd"/>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.2)</w:t>
      </w:r>
      <w:proofErr w:type="gramEnd"/>
      <w:r w:rsidRPr="00122E7A">
        <w:rPr>
          <w:color w:val="1F4E79"/>
        </w:rPr>
        <w:t xml:space="preserve"> Índice de Liquidez Corrente: somente serão qualificados os Licitantes que obtiverem Índice de Liquidez Corrente (ILC) igual ou maior do que 1,0 (um), apurado nas demonstrações financeiras do último exercício financeiro, calculado de acordo com a seguinte fórmula:</w:t>
      </w:r>
    </w:p>
    <w:p w:rsidR="00122E7A" w:rsidRDefault="00122E7A" w:rsidP="00122E7A">
      <w:pPr>
        <w:jc w:val="both"/>
        <w:rPr>
          <w:color w:val="1F4E79"/>
        </w:rPr>
      </w:pPr>
    </w:p>
    <w:p w:rsidR="00122E7A" w:rsidRPr="00122E7A" w:rsidRDefault="00122E7A" w:rsidP="00122E7A">
      <w:pPr>
        <w:jc w:val="center"/>
        <w:rPr>
          <w:color w:val="1F4E79"/>
        </w:rPr>
      </w:pPr>
      <w:r w:rsidRPr="00122E7A">
        <w:rPr>
          <w:color w:val="1F4E79"/>
        </w:rPr>
        <w:t>ILC = ATIVO CIRCULANTE</w:t>
      </w:r>
      <w:proofErr w:type="gramStart"/>
      <w:r w:rsidRPr="00122E7A">
        <w:rPr>
          <w:color w:val="1F4E79"/>
        </w:rPr>
        <w:t xml:space="preserve">  </w:t>
      </w:r>
      <w:proofErr w:type="gramEnd"/>
      <w:r w:rsidRPr="00122E7A">
        <w:rPr>
          <w:color w:val="1F4E79"/>
        </w:rPr>
        <w:t>&gt; OU = 1,0</w:t>
      </w:r>
    </w:p>
    <w:p w:rsidR="00122E7A" w:rsidRPr="00122E7A" w:rsidRDefault="00122E7A" w:rsidP="00122E7A">
      <w:pPr>
        <w:jc w:val="center"/>
        <w:rPr>
          <w:color w:val="1F4E79"/>
        </w:rPr>
      </w:pPr>
      <w:r w:rsidRPr="00122E7A">
        <w:rPr>
          <w:color w:val="1F4E79"/>
        </w:rPr>
        <w:t>PASSIVO CIRCULANTE</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.3)</w:t>
      </w:r>
      <w:proofErr w:type="gramEnd"/>
      <w:r w:rsidRPr="00122E7A">
        <w:rPr>
          <w:color w:val="1F4E79"/>
        </w:rPr>
        <w:t xml:space="preserve"> Índice de Solvência Geral: somente serão qualificados os Licitantes que obtiverem Índice de Solvência Geral (ISG) igual ou maior do que 1,0 (um), apurado nas demonstrações financeiras do último exercício financeiro, calculado de acordo com a seguinte fórmula:</w:t>
      </w:r>
    </w:p>
    <w:p w:rsidR="00122E7A" w:rsidRDefault="00122E7A" w:rsidP="00122E7A">
      <w:pPr>
        <w:jc w:val="center"/>
        <w:rPr>
          <w:color w:val="1F4E79"/>
        </w:rPr>
      </w:pPr>
    </w:p>
    <w:p w:rsidR="00122E7A" w:rsidRPr="00122E7A" w:rsidRDefault="00122E7A" w:rsidP="00122E7A">
      <w:pPr>
        <w:jc w:val="center"/>
        <w:rPr>
          <w:color w:val="1F4E79"/>
        </w:rPr>
      </w:pPr>
      <w:r w:rsidRPr="00122E7A">
        <w:rPr>
          <w:color w:val="1F4E79"/>
        </w:rPr>
        <w:t>I</w:t>
      </w:r>
      <w:r>
        <w:rPr>
          <w:color w:val="1F4E79"/>
        </w:rPr>
        <w:t>SG</w:t>
      </w:r>
      <w:r w:rsidRPr="00122E7A">
        <w:rPr>
          <w:color w:val="1F4E79"/>
        </w:rPr>
        <w:t xml:space="preserve"> =</w:t>
      </w:r>
      <w:proofErr w:type="gramStart"/>
      <w:r w:rsidRPr="00122E7A">
        <w:rPr>
          <w:color w:val="1F4E79"/>
        </w:rPr>
        <w:t xml:space="preserve">  </w:t>
      </w:r>
      <w:proofErr w:type="gramEnd"/>
      <w:r w:rsidRPr="00122E7A">
        <w:rPr>
          <w:color w:val="1F4E79"/>
        </w:rPr>
        <w:t>ATIVO TOTAL  &gt; OU = 1,0</w:t>
      </w:r>
    </w:p>
    <w:p w:rsidR="00122E7A" w:rsidRPr="00122E7A" w:rsidRDefault="00122E7A" w:rsidP="00122E7A">
      <w:pPr>
        <w:jc w:val="center"/>
        <w:rPr>
          <w:color w:val="1F4E79"/>
        </w:rPr>
      </w:pPr>
      <w:r w:rsidRPr="00122E7A">
        <w:rPr>
          <w:color w:val="1F4E79"/>
        </w:rPr>
        <w:t xml:space="preserve">PASSIVO CIRCULANTE + EXIGÍVEL </w:t>
      </w:r>
      <w:proofErr w:type="gramStart"/>
      <w:r w:rsidRPr="00122E7A">
        <w:rPr>
          <w:color w:val="1F4E79"/>
        </w:rPr>
        <w:t>A LONGO PRAZO</w:t>
      </w:r>
      <w:proofErr w:type="gramEnd"/>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.4)</w:t>
      </w:r>
      <w:proofErr w:type="gramEnd"/>
      <w:r w:rsidRPr="00122E7A">
        <w:rPr>
          <w:color w:val="1F4E79"/>
        </w:rPr>
        <w:t xml:space="preserve"> Os índices contábeis, calculados pelo licitante para fins de atendimento do dispositivo acima, deverão ser confirmados pelo responsável da contabilidade do licitante, que deverá apor sua assinatura no documento de cálculo e indicar, de forma destacada, seu nome e número de registro no Conselho Regional de Contabilidade.</w:t>
      </w:r>
    </w:p>
    <w:p w:rsidR="00122E7A" w:rsidRDefault="00122E7A" w:rsidP="00122E7A">
      <w:pPr>
        <w:jc w:val="both"/>
        <w:rPr>
          <w:color w:val="1F4E79"/>
        </w:rPr>
      </w:pPr>
    </w:p>
    <w:p w:rsidR="00122E7A" w:rsidRDefault="00122E7A" w:rsidP="00122E7A">
      <w:pPr>
        <w:jc w:val="both"/>
        <w:rPr>
          <w:color w:val="1F4E79"/>
        </w:rPr>
      </w:pPr>
      <w:proofErr w:type="gramStart"/>
      <w:r>
        <w:rPr>
          <w:color w:val="1F4E79"/>
        </w:rPr>
        <w:t>2</w:t>
      </w:r>
      <w:proofErr w:type="gramEnd"/>
      <w:r w:rsidRPr="00122E7A">
        <w:rPr>
          <w:color w:val="1F4E79"/>
        </w:rPr>
        <w:t xml:space="preserve">) Comprovação de ser dotado de capital social ou de patrimônio líquido mínimo </w:t>
      </w:r>
      <w:r>
        <w:rPr>
          <w:color w:val="1F4E79"/>
        </w:rPr>
        <w:t>relativo</w:t>
      </w:r>
      <w:r w:rsidRPr="00122E7A">
        <w:rPr>
          <w:color w:val="1F4E79"/>
        </w:rPr>
        <w:t xml:space="preserve"> a 10% do valor da contratação.</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3</w:t>
      </w:r>
      <w:proofErr w:type="gramEnd"/>
      <w:r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445214"/>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2018-06-15T18:36:00Z</dcterms:modified>
</cp:coreProperties>
</file>