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bookmarkStart w:id="0" w:name="_GoBack"/>
      <w:bookmarkEnd w:id="0"/>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122E7A" w:rsidP="00122E7A">
      <w:pPr>
        <w:jc w:val="both"/>
        <w:rPr>
          <w:color w:val="1F4E79"/>
        </w:rPr>
      </w:pPr>
      <w:proofErr w:type="gramStart"/>
      <w:r>
        <w:rPr>
          <w:color w:val="1F4E79"/>
        </w:rPr>
        <w:t>1</w:t>
      </w:r>
      <w:proofErr w:type="gramEnd"/>
      <w:r w:rsidRPr="00122E7A">
        <w:rPr>
          <w:color w:val="1F4E79"/>
        </w:rPr>
        <w:t xml:space="preserve">)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índices econômico-financeiros mínimos previstos a seguir: </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.1)</w:t>
      </w:r>
      <w:proofErr w:type="gramEnd"/>
      <w:r w:rsidRPr="00122E7A">
        <w:rPr>
          <w:color w:val="1F4E79"/>
        </w:rPr>
        <w:t xml:space="preserve"> Índice de Liquidez Geral: somente serão qualificados os Licitantes que obtiverem Índice de Liquidez Geral (ILG) igual ou maior do que 1,0 (um), apurado nas demonstrações financeiras do último exercício financeiro, calculado de acordo com a seguinte fórmula:</w:t>
      </w:r>
    </w:p>
    <w:p w:rsidR="00122E7A" w:rsidRPr="00122E7A" w:rsidRDefault="00122E7A" w:rsidP="00122E7A">
      <w:pPr>
        <w:jc w:val="both"/>
        <w:rPr>
          <w:color w:val="1F4E79"/>
        </w:rPr>
      </w:pPr>
    </w:p>
    <w:p w:rsidR="00122E7A" w:rsidRPr="00122E7A" w:rsidRDefault="00122E7A" w:rsidP="00122E7A">
      <w:pPr>
        <w:jc w:val="center"/>
        <w:rPr>
          <w:color w:val="1F4E79"/>
        </w:rPr>
      </w:pPr>
      <w:r w:rsidRPr="00122E7A">
        <w:rPr>
          <w:color w:val="1F4E79"/>
        </w:rPr>
        <w:t xml:space="preserve">ILG = ATIVO CIRCULANTE + REALIZÁVEL </w:t>
      </w:r>
      <w:proofErr w:type="gramStart"/>
      <w:r w:rsidRPr="00122E7A">
        <w:rPr>
          <w:color w:val="1F4E79"/>
        </w:rPr>
        <w:t>A LONGO PRAZO</w:t>
      </w:r>
      <w:proofErr w:type="gramEnd"/>
      <w:r w:rsidRPr="00122E7A">
        <w:rPr>
          <w:color w:val="1F4E79"/>
        </w:rPr>
        <w:t xml:space="preserve">  &gt; OU = 1,0</w:t>
      </w:r>
    </w:p>
    <w:p w:rsidR="00122E7A" w:rsidRPr="00122E7A" w:rsidRDefault="00122E7A" w:rsidP="00122E7A">
      <w:pPr>
        <w:jc w:val="center"/>
        <w:rPr>
          <w:color w:val="1F4E79"/>
        </w:rPr>
      </w:pPr>
      <w:r w:rsidRPr="00122E7A">
        <w:rPr>
          <w:color w:val="1F4E79"/>
        </w:rPr>
        <w:t xml:space="preserve">PASSIVO CIRCULANTE + EXIGÍVEL </w:t>
      </w:r>
      <w:proofErr w:type="gramStart"/>
      <w:r w:rsidRPr="00122E7A">
        <w:rPr>
          <w:color w:val="1F4E79"/>
        </w:rPr>
        <w:t>A LONGO PRAZO</w:t>
      </w:r>
      <w:proofErr w:type="gramEnd"/>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.2)</w:t>
      </w:r>
      <w:proofErr w:type="gramEnd"/>
      <w:r w:rsidRPr="00122E7A">
        <w:rPr>
          <w:color w:val="1F4E79"/>
        </w:rPr>
        <w:t xml:space="preserve"> Índice de Liquidez Corrente: somente serão qualificados os Licitantes que obtiverem Índice de Liquidez Corrente (ILC) igual ou maior do que 1,0 (um), apurado nas demonstrações financeiras do último exercício financeiro, calculado de acordo com a seguinte fórmula:</w:t>
      </w:r>
    </w:p>
    <w:p w:rsidR="00122E7A" w:rsidRDefault="00122E7A" w:rsidP="00122E7A">
      <w:pPr>
        <w:jc w:val="both"/>
        <w:rPr>
          <w:color w:val="1F4E79"/>
        </w:rPr>
      </w:pPr>
    </w:p>
    <w:p w:rsidR="00122E7A" w:rsidRPr="00122E7A" w:rsidRDefault="00122E7A" w:rsidP="00122E7A">
      <w:pPr>
        <w:jc w:val="center"/>
        <w:rPr>
          <w:color w:val="1F4E79"/>
        </w:rPr>
      </w:pPr>
      <w:r w:rsidRPr="00122E7A">
        <w:rPr>
          <w:color w:val="1F4E79"/>
        </w:rPr>
        <w:t>ILC = ATIVO CIRCULANTE</w:t>
      </w:r>
      <w:proofErr w:type="gramStart"/>
      <w:r w:rsidRPr="00122E7A">
        <w:rPr>
          <w:color w:val="1F4E79"/>
        </w:rPr>
        <w:t xml:space="preserve">  </w:t>
      </w:r>
      <w:proofErr w:type="gramEnd"/>
      <w:r w:rsidRPr="00122E7A">
        <w:rPr>
          <w:color w:val="1F4E79"/>
        </w:rPr>
        <w:t>&gt; OU = 1,0</w:t>
      </w:r>
    </w:p>
    <w:p w:rsidR="00122E7A" w:rsidRPr="00122E7A" w:rsidRDefault="00122E7A" w:rsidP="00122E7A">
      <w:pPr>
        <w:jc w:val="center"/>
        <w:rPr>
          <w:color w:val="1F4E79"/>
        </w:rPr>
      </w:pPr>
      <w:r w:rsidRPr="00122E7A">
        <w:rPr>
          <w:color w:val="1F4E79"/>
        </w:rPr>
        <w:t>PASSIVO CIRCULANTE</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.3)</w:t>
      </w:r>
      <w:proofErr w:type="gramEnd"/>
      <w:r w:rsidRPr="00122E7A">
        <w:rPr>
          <w:color w:val="1F4E79"/>
        </w:rPr>
        <w:t xml:space="preserve"> Índice de Solvência Geral: somente serão qualificados os Licitantes que obtiverem Índice de Solvência Geral (ISG) igual ou maior do que 1,0 (um), apurado nas demonstrações financeiras do último exercício financeiro, calculado de acordo com a seguinte fórmula:</w:t>
      </w:r>
    </w:p>
    <w:p w:rsidR="00122E7A" w:rsidRDefault="00122E7A" w:rsidP="00122E7A">
      <w:pPr>
        <w:jc w:val="center"/>
        <w:rPr>
          <w:color w:val="1F4E79"/>
        </w:rPr>
      </w:pPr>
    </w:p>
    <w:p w:rsidR="00122E7A" w:rsidRPr="00122E7A" w:rsidRDefault="00122E7A" w:rsidP="00122E7A">
      <w:pPr>
        <w:jc w:val="center"/>
        <w:rPr>
          <w:color w:val="1F4E79"/>
        </w:rPr>
      </w:pPr>
      <w:r w:rsidRPr="00122E7A">
        <w:rPr>
          <w:color w:val="1F4E79"/>
        </w:rPr>
        <w:t>I</w:t>
      </w:r>
      <w:r>
        <w:rPr>
          <w:color w:val="1F4E79"/>
        </w:rPr>
        <w:t>SG</w:t>
      </w:r>
      <w:r w:rsidRPr="00122E7A">
        <w:rPr>
          <w:color w:val="1F4E79"/>
        </w:rPr>
        <w:t xml:space="preserve"> =</w:t>
      </w:r>
      <w:proofErr w:type="gramStart"/>
      <w:r w:rsidRPr="00122E7A">
        <w:rPr>
          <w:color w:val="1F4E79"/>
        </w:rPr>
        <w:t xml:space="preserve">  </w:t>
      </w:r>
      <w:proofErr w:type="gramEnd"/>
      <w:r w:rsidRPr="00122E7A">
        <w:rPr>
          <w:color w:val="1F4E79"/>
        </w:rPr>
        <w:t>ATIVO TOTAL  &gt; OU = 1,0</w:t>
      </w:r>
    </w:p>
    <w:p w:rsidR="00122E7A" w:rsidRPr="00122E7A" w:rsidRDefault="00122E7A" w:rsidP="00122E7A">
      <w:pPr>
        <w:jc w:val="center"/>
        <w:rPr>
          <w:color w:val="1F4E79"/>
        </w:rPr>
      </w:pPr>
      <w:r w:rsidRPr="00122E7A">
        <w:rPr>
          <w:color w:val="1F4E79"/>
        </w:rPr>
        <w:t xml:space="preserve">PASSIVO CIRCULANTE + EXIGÍVEL </w:t>
      </w:r>
      <w:proofErr w:type="gramStart"/>
      <w:r w:rsidRPr="00122E7A">
        <w:rPr>
          <w:color w:val="1F4E79"/>
        </w:rPr>
        <w:t>A LONGO PRAZO</w:t>
      </w:r>
      <w:proofErr w:type="gramEnd"/>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.4)</w:t>
      </w:r>
      <w:proofErr w:type="gramEnd"/>
      <w:r w:rsidRPr="00122E7A">
        <w:rPr>
          <w:color w:val="1F4E79"/>
        </w:rPr>
        <w:t xml:space="preserve">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rsidR="00122E7A" w:rsidRDefault="00122E7A" w:rsidP="00122E7A">
      <w:pPr>
        <w:jc w:val="both"/>
        <w:rPr>
          <w:color w:val="1F4E79"/>
        </w:rPr>
      </w:pPr>
    </w:p>
    <w:p w:rsidR="00122E7A" w:rsidRDefault="00122E7A" w:rsidP="00122E7A">
      <w:pPr>
        <w:jc w:val="both"/>
        <w:rPr>
          <w:color w:val="1F4E79"/>
        </w:rPr>
      </w:pPr>
      <w:proofErr w:type="gramStart"/>
      <w:r>
        <w:rPr>
          <w:color w:val="1F4E79"/>
        </w:rPr>
        <w:t>2</w:t>
      </w:r>
      <w:proofErr w:type="gramEnd"/>
      <w:r w:rsidRPr="00122E7A">
        <w:rPr>
          <w:color w:val="1F4E79"/>
        </w:rPr>
        <w:t xml:space="preserve">) Comprovação de ser dotado de capital social ou de patrimônio líquido mínimo </w:t>
      </w:r>
      <w:r>
        <w:rPr>
          <w:color w:val="1F4E79"/>
        </w:rPr>
        <w:t>relativo</w:t>
      </w:r>
      <w:r w:rsidRPr="00122E7A">
        <w:rPr>
          <w:color w:val="1F4E79"/>
        </w:rPr>
        <w:t xml:space="preserve"> a 10% do valor da contratação.</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3</w:t>
      </w:r>
      <w:proofErr w:type="gramEnd"/>
      <w:r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445214"/>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2018-06-15T18:36:00Z</dcterms:modified>
</cp:coreProperties>
</file>